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396DF8">
        <w:rPr>
          <w:rFonts w:ascii="Arial" w:hAnsi="Arial" w:cs="Arial"/>
          <w:sz w:val="22"/>
          <w:szCs w:val="22"/>
          <w:lang w:val="uk-UA"/>
        </w:rPr>
        <w:t>12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F63D8B">
        <w:rPr>
          <w:rFonts w:ascii="Arial" w:hAnsi="Arial" w:cs="Arial"/>
          <w:sz w:val="22"/>
          <w:szCs w:val="22"/>
          <w:lang w:val="uk-UA"/>
        </w:rPr>
        <w:t>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63D8B">
        <w:rPr>
          <w:rFonts w:ascii="Arial" w:hAnsi="Arial" w:cs="Arial"/>
          <w:sz w:val="22"/>
          <w:szCs w:val="22"/>
          <w:lang w:val="uk-UA"/>
        </w:rPr>
        <w:t>4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630B54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630B54" w:rsidRPr="00630B54">
              <w:rPr>
                <w:rFonts w:ascii="Arial" w:hAnsi="Arial" w:cs="Arial"/>
                <w:b/>
                <w:lang w:val="uk-UA"/>
              </w:rPr>
              <w:t>ЧЕРНІГІВОБЛЕНЕРГО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630B54" w:rsidRPr="00630B54">
              <w:rPr>
                <w:rFonts w:ascii="Arial" w:hAnsi="Arial" w:cs="Arial"/>
                <w:b/>
                <w:lang w:val="uk-UA"/>
              </w:rPr>
              <w:t>22815333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C34705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0551C1" w:rsidRDefault="000551C1" w:rsidP="000551C1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0551C1" w:rsidRPr="00C53CD4" w:rsidRDefault="000551C1" w:rsidP="000551C1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ДЛЯ ГОЛОСУВАННЯ</w:t>
            </w:r>
            <w:r w:rsidRPr="00B934C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934C1">
              <w:rPr>
                <w:b/>
              </w:rPr>
              <w:t>(</w:t>
            </w:r>
            <w:r w:rsidRPr="00901799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:rsidR="00E454DA" w:rsidRPr="00C34705" w:rsidRDefault="000551C1" w:rsidP="000551C1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на </w:t>
            </w:r>
            <w:r>
              <w:rPr>
                <w:rFonts w:ascii="Arial" w:hAnsi="Arial" w:cs="Arial"/>
                <w:b/>
                <w:lang w:val="uk-UA"/>
              </w:rPr>
              <w:t>річних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>
              <w:rPr>
                <w:rFonts w:ascii="Arial" w:hAnsi="Arial" w:cs="Arial"/>
                <w:b/>
                <w:lang w:val="uk-UA"/>
              </w:rPr>
              <w:t>29 квітня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</w:t>
            </w:r>
            <w:r>
              <w:rPr>
                <w:rFonts w:ascii="Arial" w:hAnsi="Arial" w:cs="Arial"/>
                <w:b/>
                <w:lang w:val="uk-UA"/>
              </w:rPr>
              <w:t>24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FA2195" w:rsidRDefault="00520D54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  <w:r w:rsidR="00901799"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і час початку та завершення голосування:</w:t>
            </w:r>
          </w:p>
          <w:p w:rsidR="00901799" w:rsidRPr="00901799" w:rsidRDefault="00F63D8B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квітня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r w:rsidR="00FF1113" w:rsidRPr="0011725E">
              <w:rPr>
                <w:rFonts w:ascii="Arial" w:hAnsi="Arial" w:cs="Arial"/>
                <w:sz w:val="22"/>
                <w:szCs w:val="22"/>
                <w:lang w:val="uk-UA"/>
              </w:rPr>
              <w:t>https://chernihivoblenergo.com.ua/shareholders/meeting_protocols_2024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63D8B">
              <w:rPr>
                <w:rFonts w:ascii="Arial" w:hAnsi="Arial" w:cs="Arial"/>
                <w:sz w:val="22"/>
                <w:szCs w:val="22"/>
                <w:lang w:val="uk-UA"/>
              </w:rPr>
              <w:t>29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63D8B">
              <w:rPr>
                <w:rFonts w:ascii="Arial" w:hAnsi="Arial" w:cs="Arial"/>
                <w:sz w:val="22"/>
                <w:szCs w:val="22"/>
                <w:lang w:val="uk-UA"/>
              </w:rPr>
              <w:t>квітн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 w:rsidR="00F63D8B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FF1113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="00FF1113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F63D8B" w:rsidP="00F63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29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</w:t>
            </w:r>
            <w:r w:rsidR="00901799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FA2195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C3470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p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може бути заповнений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машинодруком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.</w:t>
      </w:r>
    </w:p>
    <w:p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:rsidR="00415E8E" w:rsidRPr="00627E70" w:rsidRDefault="00415E8E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0551C1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0551C1" w:rsidRDefault="00CF31D4" w:rsidP="000551C1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0551C1"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Розгляд звіту Правління АТ «ЧЕРНІГІВОБЛЕНЕРГО» про результати фінансово-господарської діяльності </w:t>
            </w:r>
            <w:r w:rsid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="000551C1"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 у 2023 році та прийняття рішення за результатами розгляду такого звіту</w:t>
            </w:r>
            <w:r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0551C1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283D89" w:rsidRDefault="00CF31D4" w:rsidP="000551C1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C1" w:rsidRPr="000551C1" w:rsidRDefault="000551C1" w:rsidP="000551C1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0551C1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1.1. Роботу Правління АТ «ЧЕРНІГІВОБЛЕНЕРГО» у 2023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D76D8E" w:rsidRPr="00F63D8B" w:rsidRDefault="000551C1" w:rsidP="000551C1">
            <w:pPr>
              <w:tabs>
                <w:tab w:val="left" w:pos="840"/>
              </w:tabs>
              <w:ind w:right="-6"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0551C1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1.2. Затвердити звіт Правління АТ «ЧЕРНІГІВОБЛЕНЕРГО» про результати фінансово-господарської діяльності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0551C1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у 2023 році</w:t>
            </w:r>
            <w:r w:rsidR="00F209F4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</w:tc>
      </w:tr>
      <w:tr w:rsidR="00CC1424" w:rsidRPr="00C53CD4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:rsidR="00CC1424" w:rsidRPr="00627E70" w:rsidRDefault="00CC1424" w:rsidP="00CC142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0551C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0551C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0551C1" w:rsidRDefault="000551C1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2</w:t>
            </w:r>
            <w:r w:rsidR="00CF31D4"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Розгляд звіту Наглядової ради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</w:r>
            <w:r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АТ «ЧЕРНІГІВОБЛЕНЕРГО» про роботу у 2023 році та прийняття рішення за результатами розгляду такого звіту</w:t>
            </w:r>
            <w:r w:rsidR="00CF31D4" w:rsidRPr="000551C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CF31D4" w:rsidRPr="000551C1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CF31D4" w:rsidRPr="00630B54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0551C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0551C1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F63D8B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2.1. Роботу Наглядової ради АТ «ЧЕРНІГІВОБЛЕНЕРГО» у 2023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D76D8E" w:rsidRPr="00F63D8B" w:rsidRDefault="00F63D8B" w:rsidP="00F63D8B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2.2. Затвердити звіт Наглядової ради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про роботу у 2023 році</w:t>
            </w:r>
            <w:r w:rsidR="00915780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  <w:r w:rsidR="00510B1B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CC1424" w:rsidRPr="00C53CD4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CF31D4" w:rsidRPr="00627E70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C53CD4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C31055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7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висновків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Ревізійної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комісії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АТ «ЧЕРНІГІВОБЛЕНЕРГО» за 2023 рік та прийняття рішення за результатами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розгляду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висновків</w:t>
            </w:r>
            <w:proofErr w:type="spellEnd"/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915780" w:rsidRPr="00CC1424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15780" w:rsidRPr="00901799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F63D8B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3.1. Роботу Ревізійної комісії АТ «ЧЕРНІГІВОБЛЕНЕРГО» у 2023 році визнати задовільною та такою, що відповідає меті та напрямкам діяльності АТ «ЧЕРНІГІВОБЛЕНЕРГО» і положенням його установчих документів.</w:t>
            </w:r>
          </w:p>
          <w:p w:rsidR="00915780" w:rsidRPr="00F63D8B" w:rsidRDefault="00F63D8B" w:rsidP="00F63D8B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lastRenderedPageBreak/>
              <w:t xml:space="preserve">3.2. Затвердити звіт і висновки Ревізійної комісії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про результати перевірки фінансово-господарської діяльності АТ «ЧЕРНІГІВОБЛЕНЕРГО» у 2023 році</w:t>
            </w:r>
            <w:r w:rsidR="00915780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</w:tc>
      </w:tr>
      <w:tr w:rsidR="00915780" w:rsidRPr="00C53CD4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C53CD4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627E70" w:rsidRPr="00627E70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  <w:p w:rsidR="00915780" w:rsidRPr="00627E70" w:rsidRDefault="00915780" w:rsidP="000A6055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F209F4" w:rsidRDefault="00F209F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630B54" w:rsidRPr="00C53CD4" w:rsidTr="00E336FB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B54" w:rsidRPr="00C53CD4" w:rsidRDefault="00630B54" w:rsidP="00630B5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54" w:rsidRPr="00F63D8B" w:rsidRDefault="00630B54" w:rsidP="00E336F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висновків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аудиторського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суб’єкта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аудиторської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діяльності за 2023 рік та затвердження заходів за результатами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розгляду</w:t>
            </w:r>
            <w:proofErr w:type="spellEnd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такого </w:t>
            </w:r>
            <w:proofErr w:type="spellStart"/>
            <w:r w:rsidR="00F63D8B"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630B54" w:rsidRPr="00CC1424" w:rsidRDefault="00630B54" w:rsidP="00E336F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0B54" w:rsidRPr="0011725E" w:rsidTr="00E336FB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B54" w:rsidRPr="00C53CD4" w:rsidRDefault="00630B54" w:rsidP="00441F8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441F8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F63D8B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4.1. Прийняти до відома висновки аудиторського звіту суб’єкта аудиторської діяльності ТОВАРИСТВА З ОБМЕЖЕНОЮ ВІДПОВІДАЛЬНІСТЮ «СТАНДАРТ-АУДИТ» (код ЄДРПОУ 23980886) за 2023 рік.</w:t>
            </w:r>
          </w:p>
          <w:p w:rsidR="00630B54" w:rsidRPr="00F63D8B" w:rsidRDefault="00F63D8B" w:rsidP="00F63D8B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4.2. Доручити Правлінню АТ «ЧЕРНІГІВОБЛЕНЕРГО» врахувати у своїй подальшій роботі висновки аудиторського звіту суб’єкта аудиторської діяльності ТОВАРИСТВА З ОБМЕЖЕНОЮ ВІДПОВІДАЛЬНІСТЮ «СТАНДАРТ-АУДИТ» (код ЄДРПОУ 23980886) за 2023 рік</w:t>
            </w:r>
            <w:r w:rsidR="00630B54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. </w:t>
            </w:r>
          </w:p>
        </w:tc>
      </w:tr>
      <w:tr w:rsidR="00630B54" w:rsidRPr="00C53CD4" w:rsidTr="00E336FB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B54" w:rsidRPr="00C53CD4" w:rsidRDefault="00630B54" w:rsidP="00E336FB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B54" w:rsidRPr="00141D4B" w:rsidRDefault="00630B54" w:rsidP="00E336FB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30B54" w:rsidRPr="00141D4B" w:rsidTr="00E336FB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30B54" w:rsidRPr="00141D4B" w:rsidRDefault="00630B54" w:rsidP="00E336FB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30B54" w:rsidRPr="00141D4B" w:rsidRDefault="00630B54" w:rsidP="00E336FB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30B54" w:rsidRPr="00141D4B" w:rsidRDefault="00630B54" w:rsidP="00E336FB">
            <w:pPr>
              <w:jc w:val="both"/>
              <w:rPr>
                <w:b/>
                <w:i/>
              </w:rPr>
            </w:pPr>
          </w:p>
          <w:p w:rsidR="00630B54" w:rsidRPr="00627E70" w:rsidRDefault="00630B54" w:rsidP="00E336F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630B54" w:rsidRDefault="00630B54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63D8B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F63D8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річної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фінансової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звітності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річного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 АТ «ЧЕРНІГІВОБЛЕНЕРГО» за 2023 рік.</w:t>
            </w:r>
          </w:p>
          <w:p w:rsidR="00F63D8B" w:rsidRPr="00CC1424" w:rsidRDefault="00F63D8B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63D8B" w:rsidRPr="00F63D8B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F63D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Default="00F63D8B" w:rsidP="00AC76D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</w:p>
          <w:p w:rsidR="00F63D8B" w:rsidRDefault="00F63D8B" w:rsidP="00AC76D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5.1. Затвердити річну фінансову звітність (річний звіт та баланс) АТ «ЧЕРНІГІВОБЛЕНЕРГО» за 2023 рік. </w:t>
            </w:r>
          </w:p>
          <w:p w:rsidR="00F63D8B" w:rsidRPr="00F63D8B" w:rsidRDefault="00F63D8B" w:rsidP="00AC76D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</w:p>
        </w:tc>
      </w:tr>
      <w:tr w:rsidR="00F63D8B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8B" w:rsidRPr="00141D4B" w:rsidRDefault="00F63D8B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63D8B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63D8B" w:rsidRPr="00141D4B" w:rsidRDefault="00F63D8B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F63D8B" w:rsidRPr="00141D4B" w:rsidRDefault="00F63D8B" w:rsidP="00AC76D8">
            <w:pPr>
              <w:jc w:val="both"/>
              <w:rPr>
                <w:b/>
                <w:i/>
              </w:rPr>
            </w:pPr>
          </w:p>
          <w:p w:rsidR="00F63D8B" w:rsidRPr="00627E70" w:rsidRDefault="00F63D8B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F63D8B" w:rsidRPr="00630B54" w:rsidRDefault="00F63D8B" w:rsidP="00F63D8B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63D8B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F63D8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результатів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діяльності АТ «ЧЕРНІГІВОБЛЕНЕРГО» за 2023 рік та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розподіл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прибутку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АТ «ЧЕРНІГІВОБЛЕНЕРГО» за 2023 рік (затвердження порядку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покриття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збитків</w:t>
            </w:r>
            <w:proofErr w:type="spellEnd"/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 за 2023 рік).</w:t>
            </w:r>
          </w:p>
          <w:p w:rsidR="00F63D8B" w:rsidRPr="00CC1424" w:rsidRDefault="00F63D8B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63D8B" w:rsidRPr="0011725E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F63D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6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6.1. Затвердити чистий прибуток у розмірі 329 567 890,08 грн. (триста двадцять дев’ять мільйонів п’ятсот шістдесят сім тисяч вісімсот дев’яносто гривень 08 копійок), отриманий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у 2023 році.</w:t>
            </w:r>
          </w:p>
          <w:p w:rsidR="00F63D8B" w:rsidRPr="00F63D8B" w:rsidRDefault="00F63D8B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6.2. Чистий прибуток у розмірі 329 567 890,08 грн. (триста двадцять дев’ять мільйонів п’ятсот шістдесят сім тисяч вісімсот дев’яносто гривень 08 копійок), отриманий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«ЧЕРНІГІВОБЛЕНЕРГО» у 2023 році, залишити нерозподіленим. </w:t>
            </w:r>
          </w:p>
        </w:tc>
      </w:tr>
      <w:tr w:rsidR="00F63D8B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8B" w:rsidRPr="00141D4B" w:rsidRDefault="00F63D8B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63D8B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63D8B" w:rsidRPr="00141D4B" w:rsidRDefault="00F63D8B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F63D8B" w:rsidRPr="00141D4B" w:rsidRDefault="00F63D8B" w:rsidP="00AC76D8">
            <w:pPr>
              <w:jc w:val="both"/>
              <w:rPr>
                <w:b/>
                <w:i/>
              </w:rPr>
            </w:pPr>
          </w:p>
          <w:p w:rsidR="00F63D8B" w:rsidRPr="00627E70" w:rsidRDefault="00F63D8B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F63D8B" w:rsidRPr="00630B54" w:rsidRDefault="00F63D8B" w:rsidP="00F63D8B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63D8B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F63D8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D8B" w:rsidRPr="00F63D8B" w:rsidRDefault="00F63D8B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5433F7"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Прийняття рішення про </w:t>
            </w:r>
            <w:proofErr w:type="spellStart"/>
            <w:r w:rsidR="005433F7"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</w:t>
            </w:r>
            <w:proofErr w:type="spellEnd"/>
            <w:r w:rsidR="005433F7"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433F7"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змін</w:t>
            </w:r>
            <w:proofErr w:type="spellEnd"/>
            <w:r w:rsidR="005433F7"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до статуту </w:t>
            </w:r>
            <w:r w:rsid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5433F7"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F63D8B" w:rsidRPr="00CC1424" w:rsidRDefault="00F63D8B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63D8B" w:rsidRPr="0011725E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F63D8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7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7.1. Внести зміни до статуту АТ «ЧЕРНІГІВОБЛЕНЕРГО» шляхом викладення його у новій редакції.</w:t>
            </w:r>
          </w:p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7.2. Затвердити нову редакцію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«ЧЕРНІГІВОБЛЕНЕРГО».</w:t>
            </w:r>
          </w:p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7.3. 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річних загальних зборів акціонерів АТ «ЧЕРНІГІВОБЛЕНЕРГО», скликаних на 29.04.2024р., підписати нову редакцію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«ЧЕРНІГІВОБЛЕНЕРГО».</w:t>
            </w:r>
          </w:p>
          <w:p w:rsidR="00F63D8B" w:rsidRPr="00F63D8B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7.4. Доручити з правом передоручення Голові Правління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«ЧЕРНІГІВОБЛЕНЕРГО» та Фінансовому директору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забезпечити здійснення державної реєстрації нової редакції статуту АТ «ЧЕРНІГІВОБЛЕНЕРГО»</w:t>
            </w:r>
            <w:r w:rsidR="00F63D8B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. </w:t>
            </w:r>
          </w:p>
        </w:tc>
      </w:tr>
      <w:tr w:rsidR="00F63D8B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D8B" w:rsidRPr="00C53CD4" w:rsidRDefault="00F63D8B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D8B" w:rsidRPr="00141D4B" w:rsidRDefault="00F63D8B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63D8B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63D8B" w:rsidRPr="00141D4B" w:rsidRDefault="00F63D8B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63D8B" w:rsidRPr="00141D4B" w:rsidRDefault="00F63D8B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F63D8B" w:rsidRPr="00141D4B" w:rsidRDefault="00F63D8B" w:rsidP="00AC76D8">
            <w:pPr>
              <w:jc w:val="both"/>
              <w:rPr>
                <w:b/>
                <w:i/>
              </w:rPr>
            </w:pPr>
          </w:p>
          <w:p w:rsidR="00F63D8B" w:rsidRPr="00627E70" w:rsidRDefault="00F63D8B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F63D8B" w:rsidRDefault="00F63D8B" w:rsidP="00627E70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5433F7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Внесення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змін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до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положення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наглядову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раду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«ЧЕРНІГІВОБЛЕНЕРГО».</w:t>
            </w:r>
          </w:p>
          <w:p w:rsidR="005433F7" w:rsidRPr="00CC1424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433F7" w:rsidRPr="00F63D8B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8.1. Внести зміни до положення про наглядову раду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шляхом викладення його у новій редакції.</w:t>
            </w:r>
          </w:p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8.2. Затвердити нову редакцію положення про наглядову раду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«ЧЕРНІГІВОБЛЕНЕРГО».</w:t>
            </w:r>
          </w:p>
          <w:p w:rsidR="005433F7" w:rsidRPr="00F63D8B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8.3. Уповноважити голову і секретаря річних загальних зборів акціонерів АТ «ЧЕРНІГІВОБЛЕНЕРГО», скликаних на 29.04.2024р., підписати нову редакцію положення про наглядову раду АТ «ЧЕРНІГІВОБЛЕНЕРГО»</w:t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. </w:t>
            </w:r>
          </w:p>
        </w:tc>
      </w:tr>
      <w:tr w:rsidR="005433F7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3F7" w:rsidRPr="00141D4B" w:rsidRDefault="005433F7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5433F7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5433F7" w:rsidRPr="00141D4B" w:rsidRDefault="005433F7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5433F7" w:rsidRPr="00141D4B" w:rsidRDefault="005433F7" w:rsidP="00AC76D8">
            <w:pPr>
              <w:jc w:val="both"/>
              <w:rPr>
                <w:b/>
                <w:i/>
              </w:rPr>
            </w:pPr>
          </w:p>
          <w:p w:rsidR="005433F7" w:rsidRPr="00627E70" w:rsidRDefault="005433F7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5433F7" w:rsidRDefault="005433F7" w:rsidP="005433F7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5433F7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Прийняття рішення про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припинення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повноважень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відкликання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) Голови і членів Правління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«ЧЕРНІГІВОБЛЕНЕРГО».</w:t>
            </w:r>
          </w:p>
          <w:p w:rsidR="005433F7" w:rsidRPr="00CC1424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433F7" w:rsidRPr="0011725E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9.1. Припинити повноваження діючих (на момент проведення 29.04.2024р. річних загальних зборів акціонерів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«ЧЕРНІГІВОБЛЕНЕРГО») Голови та членів Правління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«ЧЕРНІГІВОБЛЕНЕРГО».</w:t>
            </w:r>
          </w:p>
          <w:p w:rsidR="005433F7" w:rsidRPr="00F63D8B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9.2. Вважати повноваження діючих (на момент проведення 29.04.2024р. річних загальних зборів акціонерів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«ЧЕРНІГІВОБЛЕНЕРГО») Голови та членів Правління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такими, що втрачають чинність з моменту прийняття даного рішення річними загальними зборами акціонерів АТ «ЧЕРНІГІВОБЛЕНЕРГО» 29.04.2024р</w:t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. </w:t>
            </w:r>
          </w:p>
        </w:tc>
      </w:tr>
      <w:tr w:rsidR="005433F7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3F7" w:rsidRPr="00141D4B" w:rsidRDefault="005433F7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5433F7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5433F7" w:rsidRPr="00141D4B" w:rsidRDefault="005433F7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5433F7" w:rsidRPr="00141D4B" w:rsidRDefault="005433F7" w:rsidP="00AC76D8">
            <w:pPr>
              <w:jc w:val="both"/>
              <w:rPr>
                <w:b/>
                <w:i/>
              </w:rPr>
            </w:pPr>
          </w:p>
          <w:p w:rsidR="005433F7" w:rsidRPr="00627E70" w:rsidRDefault="005433F7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5433F7" w:rsidRDefault="005433F7" w:rsidP="005433F7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5433F7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11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Прийняття рішення про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припинення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повноважень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Голови і членів Наглядової ради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«ЧЕРНІГІВОБЛЕНЕРГО».</w:t>
            </w:r>
          </w:p>
          <w:p w:rsidR="005433F7" w:rsidRPr="00CC1424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433F7" w:rsidRPr="0011725E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11.1. Припинити повноваження діючих (на момент проведення 29.04.2024р. річних загальних зборів акціонерів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«ЧЕРНІГІВОБЛЕНЕРГО») Голови та членів Наглядової ради АТ «ЧЕРНІГІВОБЛЕНЕРГО».</w:t>
            </w:r>
          </w:p>
          <w:p w:rsidR="005433F7" w:rsidRPr="00F63D8B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11.2. Вважати повноваження діючих (на момент проведення 29.04.2024р. річних загальних зборів акціонерів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«ЧЕРНІГІВОБЛЕНЕРГО») Голови та членів Наглядової ради АТ «ЧЕРНІГІВОБЛЕНЕРГО» такими, що втрачають чинність з моменту прийняття даного рішення річними загальними зборами акціонерів АТ «ЧЕРНІГІВОБЛЕНЕРГО» 29.04.2024р</w:t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. </w:t>
            </w:r>
          </w:p>
        </w:tc>
      </w:tr>
      <w:tr w:rsidR="005433F7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3F7" w:rsidRPr="00141D4B" w:rsidRDefault="005433F7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5433F7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5433F7" w:rsidRPr="00141D4B" w:rsidRDefault="005433F7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5433F7" w:rsidRPr="00141D4B" w:rsidRDefault="005433F7" w:rsidP="00AC76D8">
            <w:pPr>
              <w:jc w:val="both"/>
              <w:rPr>
                <w:b/>
                <w:i/>
              </w:rPr>
            </w:pPr>
          </w:p>
          <w:p w:rsidR="005433F7" w:rsidRPr="00627E70" w:rsidRDefault="005433F7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5433F7" w:rsidRDefault="005433F7" w:rsidP="005433F7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5433F7" w:rsidRPr="00C53CD4" w:rsidTr="00AC76D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 14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4</w:t>
            </w: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умов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договорів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цивільно-правових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або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трудових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), що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укладатимуться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 Головою та членами Наглядової ради АТ «ЧЕРНІГІВОБЛЕНЕРГО»;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встановлення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розміру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їх винагороди (затвердження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кошторису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оплати); обрання особи, яка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уповноважується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на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підписання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договорів</w:t>
            </w:r>
            <w:proofErr w:type="spellEnd"/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 Головою та членами Наглядової ради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5433F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«ЧЕРНІГІВОБЛЕНЕРГО».</w:t>
            </w:r>
          </w:p>
          <w:p w:rsidR="005433F7" w:rsidRPr="00CC1424" w:rsidRDefault="005433F7" w:rsidP="00AC76D8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433F7" w:rsidRPr="00F63D8B" w:rsidTr="00AC76D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5433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14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14.1. Затвердити умови договору, що укладатиметься з Головою Наглядової ради АТ «ЧЕРНІГІВОБЛЕНЕРГО».</w:t>
            </w:r>
          </w:p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14.2. Затвердити умови договору, що укладатиметься з членами Наглядової ради АТ «ЧЕРНІГІВОБЛЕНЕРГО».</w:t>
            </w:r>
          </w:p>
          <w:p w:rsidR="005433F7" w:rsidRPr="005433F7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14.3. Уповноважити Голову Правління та Фінансового директора АТ «ЧЕРНІГІВОБЛЕНЕРГО» підписати від імені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 договори з Головою та членами Наглядової ради АТ «ЧЕРНІГІВОБЛЕНЕРГО».</w:t>
            </w:r>
          </w:p>
          <w:p w:rsidR="005433F7" w:rsidRPr="00F63D8B" w:rsidRDefault="005433F7" w:rsidP="005433F7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14.4. Затвердити кошторис по оплаті діяльності Наглядової ради АТ «ЧЕРНІГІВОБЛЕНЕРГО». Розмір винагороди обраних Голови та членів Наглядової ради АТ «ЧЕРНІГІВОБЛЕНЕРГО» встановити у кошторисі по оплаті діяльності Наглядової ради </w:t>
            </w:r>
            <w:r w:rsidR="00CA647F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5433F7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</w:t>
            </w:r>
            <w:r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. </w:t>
            </w:r>
          </w:p>
        </w:tc>
      </w:tr>
      <w:tr w:rsidR="005433F7" w:rsidRPr="00C53CD4" w:rsidTr="00AC76D8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3F7" w:rsidRPr="00C53CD4" w:rsidRDefault="005433F7" w:rsidP="00AC76D8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3F7" w:rsidRPr="00141D4B" w:rsidRDefault="005433F7" w:rsidP="00AC76D8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5433F7" w:rsidRPr="00141D4B" w:rsidTr="00AC76D8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5433F7" w:rsidRPr="00141D4B" w:rsidRDefault="005433F7" w:rsidP="00AC76D8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5433F7" w:rsidRPr="00141D4B" w:rsidRDefault="005433F7" w:rsidP="00AC76D8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5433F7" w:rsidRPr="00141D4B" w:rsidRDefault="005433F7" w:rsidP="00AC76D8">
            <w:pPr>
              <w:jc w:val="both"/>
              <w:rPr>
                <w:b/>
                <w:i/>
              </w:rPr>
            </w:pPr>
          </w:p>
          <w:p w:rsidR="005433F7" w:rsidRPr="00627E70" w:rsidRDefault="005433F7" w:rsidP="00AC76D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5433F7" w:rsidRPr="00630B54" w:rsidRDefault="005433F7" w:rsidP="00627E70">
      <w:pPr>
        <w:rPr>
          <w:rFonts w:ascii="Arial" w:hAnsi="Arial" w:cs="Arial"/>
          <w:sz w:val="22"/>
          <w:szCs w:val="22"/>
        </w:rPr>
      </w:pPr>
    </w:p>
    <w:sectPr w:rsidR="005433F7" w:rsidRPr="00630B54" w:rsidSect="00190DD4">
      <w:footerReference w:type="default" r:id="rId8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C9" w:rsidRDefault="00B243C9">
      <w:r>
        <w:separator/>
      </w:r>
    </w:p>
  </w:endnote>
  <w:endnote w:type="continuationSeparator" w:id="0">
    <w:p w:rsidR="00B243C9" w:rsidRDefault="00B2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11725E">
            <w:rPr>
              <w:rFonts w:eastAsia="Times New Roman"/>
              <w:noProof/>
              <w:sz w:val="20"/>
              <w:szCs w:val="22"/>
            </w:rPr>
            <w:t>7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C9" w:rsidRDefault="00B243C9">
      <w:r>
        <w:separator/>
      </w:r>
    </w:p>
  </w:footnote>
  <w:footnote w:type="continuationSeparator" w:id="0">
    <w:p w:rsidR="00B243C9" w:rsidRDefault="00B2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551C1"/>
    <w:rsid w:val="000960AF"/>
    <w:rsid w:val="000C1162"/>
    <w:rsid w:val="000C4D7F"/>
    <w:rsid w:val="000E098B"/>
    <w:rsid w:val="0011725E"/>
    <w:rsid w:val="00190DD4"/>
    <w:rsid w:val="00192692"/>
    <w:rsid w:val="00195656"/>
    <w:rsid w:val="001C4F13"/>
    <w:rsid w:val="00214AF1"/>
    <w:rsid w:val="00233888"/>
    <w:rsid w:val="00236022"/>
    <w:rsid w:val="002748D8"/>
    <w:rsid w:val="00283D89"/>
    <w:rsid w:val="0029578C"/>
    <w:rsid w:val="002C77CC"/>
    <w:rsid w:val="00340DFB"/>
    <w:rsid w:val="0039347E"/>
    <w:rsid w:val="00396DF8"/>
    <w:rsid w:val="003F3DAE"/>
    <w:rsid w:val="00415E8E"/>
    <w:rsid w:val="00441F84"/>
    <w:rsid w:val="00461665"/>
    <w:rsid w:val="004741DC"/>
    <w:rsid w:val="004C5418"/>
    <w:rsid w:val="00510B1B"/>
    <w:rsid w:val="00520D54"/>
    <w:rsid w:val="005433F7"/>
    <w:rsid w:val="00546422"/>
    <w:rsid w:val="005646A9"/>
    <w:rsid w:val="00575C8D"/>
    <w:rsid w:val="00586142"/>
    <w:rsid w:val="00593B16"/>
    <w:rsid w:val="005A63D5"/>
    <w:rsid w:val="005A7A63"/>
    <w:rsid w:val="005B0255"/>
    <w:rsid w:val="005E1448"/>
    <w:rsid w:val="005F3FD2"/>
    <w:rsid w:val="00627E70"/>
    <w:rsid w:val="00630B54"/>
    <w:rsid w:val="00654056"/>
    <w:rsid w:val="006B1B9C"/>
    <w:rsid w:val="00716747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45DEB"/>
    <w:rsid w:val="00983F05"/>
    <w:rsid w:val="009E1B01"/>
    <w:rsid w:val="009F7C2F"/>
    <w:rsid w:val="00A13416"/>
    <w:rsid w:val="00A669EA"/>
    <w:rsid w:val="00A909D5"/>
    <w:rsid w:val="00AA6C4B"/>
    <w:rsid w:val="00AC74A9"/>
    <w:rsid w:val="00B12EB3"/>
    <w:rsid w:val="00B243C9"/>
    <w:rsid w:val="00B31F0D"/>
    <w:rsid w:val="00B46399"/>
    <w:rsid w:val="00B62FD0"/>
    <w:rsid w:val="00B741CA"/>
    <w:rsid w:val="00BC3EEA"/>
    <w:rsid w:val="00BD0D6A"/>
    <w:rsid w:val="00BD2088"/>
    <w:rsid w:val="00BF40E8"/>
    <w:rsid w:val="00C31055"/>
    <w:rsid w:val="00C34705"/>
    <w:rsid w:val="00C365FF"/>
    <w:rsid w:val="00C4142E"/>
    <w:rsid w:val="00C527D5"/>
    <w:rsid w:val="00C53716"/>
    <w:rsid w:val="00C53CD4"/>
    <w:rsid w:val="00CA34FF"/>
    <w:rsid w:val="00CA647F"/>
    <w:rsid w:val="00CB2D28"/>
    <w:rsid w:val="00CB591D"/>
    <w:rsid w:val="00CC1424"/>
    <w:rsid w:val="00CC5D91"/>
    <w:rsid w:val="00CF31D4"/>
    <w:rsid w:val="00D509E8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63D8B"/>
    <w:rsid w:val="00F7559D"/>
    <w:rsid w:val="00FA2195"/>
    <w:rsid w:val="00FA2BAF"/>
    <w:rsid w:val="00FB3595"/>
    <w:rsid w:val="00FC26BB"/>
    <w:rsid w:val="00FE5AFC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13E92A-5512-4E3B-968A-66D608A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3D61-5058-4F45-BFBD-19443CD7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Пригара Артем</cp:lastModifiedBy>
  <cp:revision>7</cp:revision>
  <cp:lastPrinted>2022-04-26T06:38:00Z</cp:lastPrinted>
  <dcterms:created xsi:type="dcterms:W3CDTF">2024-04-14T23:08:00Z</dcterms:created>
  <dcterms:modified xsi:type="dcterms:W3CDTF">2024-04-18T10:27:00Z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